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19DC9" w14:textId="77777777" w:rsidR="00862D3A" w:rsidRPr="00862D3A" w:rsidRDefault="00862D3A" w:rsidP="00862D3A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jc w:val="center"/>
        <w:outlineLvl w:val="1"/>
        <w:rPr>
          <w:rFonts w:ascii="Segoe UI" w:eastAsia="Times New Roman" w:hAnsi="Segoe UI" w:cs="Segoe UI"/>
          <w:b/>
          <w:bCs/>
          <w:color w:val="011893"/>
          <w:spacing w:val="1"/>
          <w:kern w:val="0"/>
          <w:sz w:val="28"/>
          <w:szCs w:val="28"/>
          <w14:ligatures w14:val="none"/>
        </w:rPr>
      </w:pPr>
      <w:r w:rsidRPr="00862D3A">
        <w:rPr>
          <w:rFonts w:ascii="Segoe UI" w:eastAsia="Times New Roman" w:hAnsi="Segoe UI" w:cs="Segoe UI"/>
          <w:b/>
          <w:bCs/>
          <w:color w:val="011893"/>
          <w:spacing w:val="1"/>
          <w:kern w:val="0"/>
          <w:sz w:val="28"/>
          <w:szCs w:val="28"/>
          <w14:ligatures w14:val="none"/>
        </w:rPr>
        <w:t>Comparison Chart of Vaginal Laser Types and Clinical Settings</w:t>
      </w:r>
    </w:p>
    <w:tbl>
      <w:tblPr>
        <w:tblW w:w="10770" w:type="dxa"/>
        <w:jc w:val="center"/>
        <w:tblCellSpacing w:w="15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1"/>
        <w:gridCol w:w="993"/>
        <w:gridCol w:w="850"/>
        <w:gridCol w:w="874"/>
        <w:gridCol w:w="685"/>
        <w:gridCol w:w="1134"/>
        <w:gridCol w:w="851"/>
        <w:gridCol w:w="1134"/>
        <w:gridCol w:w="850"/>
        <w:gridCol w:w="1134"/>
        <w:gridCol w:w="1134"/>
      </w:tblGrid>
      <w:tr w:rsidR="00E30F8E" w:rsidRPr="00862D3A" w14:paraId="501A3BDC" w14:textId="77777777" w:rsidTr="00E30F8E">
        <w:trPr>
          <w:tblHeader/>
          <w:tblCellSpacing w:w="15" w:type="dxa"/>
          <w:jc w:val="center"/>
        </w:trPr>
        <w:tc>
          <w:tcPr>
            <w:tcW w:w="108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EF15DD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  <w:t>Laser Type</w:t>
            </w:r>
          </w:p>
        </w:tc>
        <w:tc>
          <w:tcPr>
            <w:tcW w:w="96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26A411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  <w:t>Wavelength</w:t>
            </w:r>
          </w:p>
        </w:tc>
        <w:tc>
          <w:tcPr>
            <w:tcW w:w="8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70DF6B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  <w:t>Pulse Mode</w:t>
            </w:r>
          </w:p>
        </w:tc>
        <w:tc>
          <w:tcPr>
            <w:tcW w:w="84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37CB0A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  <w:t>Typical Energy / Fluence</w:t>
            </w:r>
          </w:p>
        </w:tc>
        <w:tc>
          <w:tcPr>
            <w:tcW w:w="6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74F6D4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  <w:t>Spot Size</w:t>
            </w:r>
          </w:p>
        </w:tc>
        <w:tc>
          <w:tcPr>
            <w:tcW w:w="11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2E05B2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  <w:t>Recommended Sessions</w:t>
            </w:r>
          </w:p>
        </w:tc>
        <w:tc>
          <w:tcPr>
            <w:tcW w:w="82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9D5FF9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  <w:t>Session Interval</w:t>
            </w:r>
          </w:p>
        </w:tc>
        <w:tc>
          <w:tcPr>
            <w:tcW w:w="11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7792EC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  <w:t>Common Indications</w:t>
            </w:r>
          </w:p>
        </w:tc>
        <w:tc>
          <w:tcPr>
            <w:tcW w:w="8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4C3BCF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  <w:t>Typical Downtime</w:t>
            </w:r>
          </w:p>
        </w:tc>
        <w:tc>
          <w:tcPr>
            <w:tcW w:w="11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9F2008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  <w:t>Key Safety Precautions</w:t>
            </w:r>
          </w:p>
        </w:tc>
        <w:tc>
          <w:tcPr>
            <w:tcW w:w="108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9CB6B7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b/>
                <w:bCs/>
                <w:kern w:val="0"/>
                <w:sz w:val="16"/>
                <w:szCs w:val="16"/>
                <w14:ligatures w14:val="none"/>
              </w:rPr>
              <w:t>Comments</w:t>
            </w:r>
          </w:p>
        </w:tc>
      </w:tr>
      <w:tr w:rsidR="00E30F8E" w:rsidRPr="00862D3A" w14:paraId="4CA39EFE" w14:textId="77777777" w:rsidTr="00E30F8E">
        <w:trPr>
          <w:tblCellSpacing w:w="15" w:type="dxa"/>
          <w:jc w:val="center"/>
        </w:trPr>
        <w:tc>
          <w:tcPr>
            <w:tcW w:w="108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1977354D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CO₂ (Fractional)</w:t>
            </w:r>
          </w:p>
        </w:tc>
        <w:tc>
          <w:tcPr>
            <w:tcW w:w="96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0D447E4D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10,600 nm</w:t>
            </w:r>
          </w:p>
        </w:tc>
        <w:tc>
          <w:tcPr>
            <w:tcW w:w="8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17AE13B6" w14:textId="7BC7704F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Fractional/</w:t>
            </w:r>
            <w:r w:rsidR="00E30F8E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Pixel</w:t>
            </w:r>
          </w:p>
        </w:tc>
        <w:tc>
          <w:tcPr>
            <w:tcW w:w="84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0C36E864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30-40W, 350–400 J/cm²</w:t>
            </w:r>
          </w:p>
        </w:tc>
        <w:tc>
          <w:tcPr>
            <w:tcW w:w="6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317DEB71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7-10 mm</w:t>
            </w:r>
          </w:p>
        </w:tc>
        <w:tc>
          <w:tcPr>
            <w:tcW w:w="11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46BE20D9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3–6</w:t>
            </w:r>
          </w:p>
        </w:tc>
        <w:tc>
          <w:tcPr>
            <w:tcW w:w="82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06FEF3A9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4–6 weeks</w:t>
            </w:r>
          </w:p>
        </w:tc>
        <w:tc>
          <w:tcPr>
            <w:tcW w:w="11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7DD6512A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GSM, laxity, SUI, scarring, aesthetics</w:t>
            </w:r>
          </w:p>
        </w:tc>
        <w:tc>
          <w:tcPr>
            <w:tcW w:w="8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21F4AFFF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1–3 days</w:t>
            </w:r>
          </w:p>
        </w:tc>
        <w:tc>
          <w:tcPr>
            <w:tcW w:w="11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43108727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Eye protection, cooling</w:t>
            </w:r>
          </w:p>
        </w:tc>
        <w:tc>
          <w:tcPr>
            <w:tcW w:w="108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6C1DC1E0" w14:textId="4335DCD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Most studied; gentle ablation/</w:t>
            </w:r>
            <w:r w:rsidR="00E30F8E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remodeling</w:t>
            </w:r>
          </w:p>
        </w:tc>
      </w:tr>
      <w:tr w:rsidR="00E30F8E" w:rsidRPr="00862D3A" w14:paraId="2A6A03D0" w14:textId="77777777" w:rsidTr="00E30F8E">
        <w:trPr>
          <w:tblCellSpacing w:w="15" w:type="dxa"/>
          <w:jc w:val="center"/>
        </w:trPr>
        <w:tc>
          <w:tcPr>
            <w:tcW w:w="108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3C17506A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Er:YAG</w:t>
            </w:r>
          </w:p>
        </w:tc>
        <w:tc>
          <w:tcPr>
            <w:tcW w:w="96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6574B9B0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2940 nm</w:t>
            </w:r>
          </w:p>
        </w:tc>
        <w:tc>
          <w:tcPr>
            <w:tcW w:w="8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4A048435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SMOOTH, MSP</w:t>
            </w:r>
          </w:p>
        </w:tc>
        <w:tc>
          <w:tcPr>
            <w:tcW w:w="84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2A50B4FB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3.25–6.0 J/cm²</w:t>
            </w:r>
          </w:p>
        </w:tc>
        <w:tc>
          <w:tcPr>
            <w:tcW w:w="6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753BBED9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7 mm</w:t>
            </w:r>
          </w:p>
        </w:tc>
        <w:tc>
          <w:tcPr>
            <w:tcW w:w="11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1015777B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2–3</w:t>
            </w:r>
          </w:p>
        </w:tc>
        <w:tc>
          <w:tcPr>
            <w:tcW w:w="82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22956BB3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4–6 weeks</w:t>
            </w:r>
          </w:p>
        </w:tc>
        <w:tc>
          <w:tcPr>
            <w:tcW w:w="11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5951667A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GSM, mild prolapse, laxity, aesthetics</w:t>
            </w:r>
          </w:p>
        </w:tc>
        <w:tc>
          <w:tcPr>
            <w:tcW w:w="8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22D535DB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&lt;3 days</w:t>
            </w:r>
          </w:p>
        </w:tc>
        <w:tc>
          <w:tcPr>
            <w:tcW w:w="11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687FDCBC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Visual tissue monitoring</w:t>
            </w:r>
          </w:p>
        </w:tc>
        <w:tc>
          <w:tcPr>
            <w:tcW w:w="108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0C4411C2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Non-ablative; minimal downtime, precise</w:t>
            </w:r>
          </w:p>
        </w:tc>
      </w:tr>
      <w:tr w:rsidR="00E30F8E" w:rsidRPr="00862D3A" w14:paraId="13F7FB8E" w14:textId="77777777" w:rsidTr="00E30F8E">
        <w:trPr>
          <w:tblCellSpacing w:w="15" w:type="dxa"/>
          <w:jc w:val="center"/>
        </w:trPr>
        <w:tc>
          <w:tcPr>
            <w:tcW w:w="108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40210F37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Diode</w:t>
            </w:r>
          </w:p>
        </w:tc>
        <w:tc>
          <w:tcPr>
            <w:tcW w:w="96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4F5183DA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1470 nm</w:t>
            </w:r>
          </w:p>
        </w:tc>
        <w:tc>
          <w:tcPr>
            <w:tcW w:w="8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053C17FE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Fractional</w:t>
            </w:r>
          </w:p>
        </w:tc>
        <w:tc>
          <w:tcPr>
            <w:tcW w:w="84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6D711DEC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Device-dependent</w:t>
            </w:r>
          </w:p>
        </w:tc>
        <w:tc>
          <w:tcPr>
            <w:tcW w:w="6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2795DED9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Variable</w:t>
            </w:r>
          </w:p>
        </w:tc>
        <w:tc>
          <w:tcPr>
            <w:tcW w:w="11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3B92E4E7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82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0D6442FE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4 weeks</w:t>
            </w:r>
          </w:p>
        </w:tc>
        <w:tc>
          <w:tcPr>
            <w:tcW w:w="11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5A6AD247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GSM, mild atrophy, sexual dysfunction</w:t>
            </w:r>
          </w:p>
        </w:tc>
        <w:tc>
          <w:tcPr>
            <w:tcW w:w="8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4F11DCFC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&lt;3 days</w:t>
            </w:r>
          </w:p>
        </w:tc>
        <w:tc>
          <w:tcPr>
            <w:tcW w:w="11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7B579EAA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Manufacturer protocols</w:t>
            </w:r>
          </w:p>
        </w:tc>
        <w:tc>
          <w:tcPr>
            <w:tcW w:w="108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6B6EC7E8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Mild thermal, very safe; growing evidence</w:t>
            </w:r>
          </w:p>
        </w:tc>
      </w:tr>
      <w:tr w:rsidR="00E30F8E" w:rsidRPr="00862D3A" w14:paraId="25D82DAF" w14:textId="77777777" w:rsidTr="00E30F8E">
        <w:trPr>
          <w:tblCellSpacing w:w="15" w:type="dxa"/>
          <w:jc w:val="center"/>
        </w:trPr>
        <w:tc>
          <w:tcPr>
            <w:tcW w:w="108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2B7A3C32" w14:textId="788B68F1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Pixel/</w:t>
            </w:r>
            <w:r w:rsidR="00E30F8E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Fractional</w:t>
            </w:r>
          </w:p>
        </w:tc>
        <w:tc>
          <w:tcPr>
            <w:tcW w:w="96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0B641A31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Variable</w:t>
            </w:r>
          </w:p>
        </w:tc>
        <w:tc>
          <w:tcPr>
            <w:tcW w:w="8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1A4D7CFB" w14:textId="192356D9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Pixel/</w:t>
            </w:r>
            <w:r w:rsidR="00E30F8E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 xml:space="preserve"> </w:t>
            </w: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Fractional</w:t>
            </w:r>
          </w:p>
        </w:tc>
        <w:tc>
          <w:tcPr>
            <w:tcW w:w="84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29C05EFC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50mJ/pixel, 5% coverage</w:t>
            </w:r>
          </w:p>
        </w:tc>
        <w:tc>
          <w:tcPr>
            <w:tcW w:w="65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5408AD0E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Variable</w:t>
            </w:r>
          </w:p>
        </w:tc>
        <w:tc>
          <w:tcPr>
            <w:tcW w:w="11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6BE3E52C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3–5</w:t>
            </w:r>
          </w:p>
        </w:tc>
        <w:tc>
          <w:tcPr>
            <w:tcW w:w="82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20DBC930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4 weeks</w:t>
            </w:r>
          </w:p>
        </w:tc>
        <w:tc>
          <w:tcPr>
            <w:tcW w:w="11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2AC20830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All indications, aesthetics</w:t>
            </w:r>
          </w:p>
        </w:tc>
        <w:tc>
          <w:tcPr>
            <w:tcW w:w="8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70C0D36E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1–2 days</w:t>
            </w:r>
          </w:p>
        </w:tc>
        <w:tc>
          <w:tcPr>
            <w:tcW w:w="110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307C136E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Avoid overlapping pulses</w:t>
            </w:r>
          </w:p>
        </w:tc>
        <w:tc>
          <w:tcPr>
            <w:tcW w:w="108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center"/>
            <w:hideMark/>
          </w:tcPr>
          <w:p w14:paraId="23022F2A" w14:textId="77777777" w:rsidR="00862D3A" w:rsidRPr="00862D3A" w:rsidRDefault="00862D3A" w:rsidP="00862D3A">
            <w:pPr>
              <w:spacing w:before="240" w:after="24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</w:pPr>
            <w:r w:rsidRPr="00862D3A">
              <w:rPr>
                <w:rFonts w:ascii="Calibri" w:eastAsia="Times New Roman" w:hAnsi="Calibri" w:cs="Calibri"/>
                <w:kern w:val="0"/>
                <w:sz w:val="16"/>
                <w:szCs w:val="16"/>
                <w14:ligatures w14:val="none"/>
              </w:rPr>
              <w:t>Uniform coverage; customizable settings</w:t>
            </w:r>
          </w:p>
        </w:tc>
      </w:tr>
    </w:tbl>
    <w:p w14:paraId="19860E34" w14:textId="77777777" w:rsidR="00E44714" w:rsidRDefault="00E44714"/>
    <w:sectPr w:rsidR="00E44714" w:rsidSect="00862D3A">
      <w:pgSz w:w="12240" w:h="15840"/>
      <w:pgMar w:top="1077" w:right="1077" w:bottom="107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E36B1"/>
    <w:multiLevelType w:val="multilevel"/>
    <w:tmpl w:val="C2BAF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DB36AC"/>
    <w:multiLevelType w:val="multilevel"/>
    <w:tmpl w:val="46A0E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7374B0"/>
    <w:multiLevelType w:val="multilevel"/>
    <w:tmpl w:val="A6245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A370F1"/>
    <w:multiLevelType w:val="multilevel"/>
    <w:tmpl w:val="38F6B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9B354F"/>
    <w:multiLevelType w:val="multilevel"/>
    <w:tmpl w:val="C9B6C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C809A2"/>
    <w:multiLevelType w:val="multilevel"/>
    <w:tmpl w:val="82D0F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E873A4"/>
    <w:multiLevelType w:val="multilevel"/>
    <w:tmpl w:val="4A563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0B02AA"/>
    <w:multiLevelType w:val="multilevel"/>
    <w:tmpl w:val="C56C7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4032CB"/>
    <w:multiLevelType w:val="multilevel"/>
    <w:tmpl w:val="C39CA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D07BD3"/>
    <w:multiLevelType w:val="multilevel"/>
    <w:tmpl w:val="214C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51051F3"/>
    <w:multiLevelType w:val="multilevel"/>
    <w:tmpl w:val="4B2C6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37A69ED"/>
    <w:multiLevelType w:val="multilevel"/>
    <w:tmpl w:val="F9A6FE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6E46D3C"/>
    <w:multiLevelType w:val="multilevel"/>
    <w:tmpl w:val="B33A2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9552114">
    <w:abstractNumId w:val="5"/>
  </w:num>
  <w:num w:numId="2" w16cid:durableId="1511985572">
    <w:abstractNumId w:val="11"/>
  </w:num>
  <w:num w:numId="3" w16cid:durableId="77557865">
    <w:abstractNumId w:val="2"/>
  </w:num>
  <w:num w:numId="4" w16cid:durableId="1805612329">
    <w:abstractNumId w:val="4"/>
  </w:num>
  <w:num w:numId="5" w16cid:durableId="3751757">
    <w:abstractNumId w:val="1"/>
  </w:num>
  <w:num w:numId="6" w16cid:durableId="922446620">
    <w:abstractNumId w:val="3"/>
  </w:num>
  <w:num w:numId="7" w16cid:durableId="1542790609">
    <w:abstractNumId w:val="10"/>
  </w:num>
  <w:num w:numId="8" w16cid:durableId="561869823">
    <w:abstractNumId w:val="0"/>
  </w:num>
  <w:num w:numId="9" w16cid:durableId="1291520512">
    <w:abstractNumId w:val="7"/>
  </w:num>
  <w:num w:numId="10" w16cid:durableId="896817317">
    <w:abstractNumId w:val="8"/>
  </w:num>
  <w:num w:numId="11" w16cid:durableId="1646592468">
    <w:abstractNumId w:val="12"/>
  </w:num>
  <w:num w:numId="12" w16cid:durableId="1926376996">
    <w:abstractNumId w:val="9"/>
  </w:num>
  <w:num w:numId="13" w16cid:durableId="1891516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D3A"/>
    <w:rsid w:val="00035AC0"/>
    <w:rsid w:val="006E6E88"/>
    <w:rsid w:val="0077083B"/>
    <w:rsid w:val="00862D3A"/>
    <w:rsid w:val="00A23027"/>
    <w:rsid w:val="00C47817"/>
    <w:rsid w:val="00E30F8E"/>
    <w:rsid w:val="00E44714"/>
    <w:rsid w:val="00EB11F7"/>
    <w:rsid w:val="00F37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0F6C3"/>
  <w15:chartTrackingRefBased/>
  <w15:docId w15:val="{ADDA89A7-0A6F-6A45-890E-1B452A6A9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2D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2D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2D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2D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2D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2D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2D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2D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2D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2D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62D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2D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2D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2D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2D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2D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2D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2D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2D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2D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2D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2D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2D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2D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2D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2D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2D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2D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2D3A"/>
    <w:rPr>
      <w:b/>
      <w:bCs/>
      <w:smallCaps/>
      <w:color w:val="0F4761" w:themeColor="accent1" w:themeShade="BF"/>
      <w:spacing w:val="5"/>
    </w:rPr>
  </w:style>
  <w:style w:type="paragraph" w:customStyle="1" w:styleId="my-2">
    <w:name w:val="my-2"/>
    <w:basedOn w:val="Normal"/>
    <w:rsid w:val="00862D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862D3A"/>
    <w:rPr>
      <w:b/>
      <w:bCs/>
    </w:rPr>
  </w:style>
  <w:style w:type="character" w:customStyle="1" w:styleId="font-sans">
    <w:name w:val="font-sans"/>
    <w:basedOn w:val="DefaultParagraphFont"/>
    <w:rsid w:val="00862D3A"/>
  </w:style>
  <w:style w:type="paragraph" w:styleId="NormalWeb">
    <w:name w:val="Normal (Web)"/>
    <w:basedOn w:val="Normal"/>
    <w:uiPriority w:val="99"/>
    <w:semiHidden/>
    <w:unhideWhenUsed/>
    <w:rsid w:val="00862D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862D3A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62D3A"/>
  </w:style>
  <w:style w:type="character" w:styleId="Emphasis">
    <w:name w:val="Emphasis"/>
    <w:basedOn w:val="DefaultParagraphFont"/>
    <w:uiPriority w:val="20"/>
    <w:qFormat/>
    <w:rsid w:val="00862D3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Rupinder Ruprai</dc:creator>
  <cp:keywords/>
  <dc:description/>
  <cp:lastModifiedBy>Rupinder Ruprai</cp:lastModifiedBy>
  <cp:revision>2</cp:revision>
  <dcterms:created xsi:type="dcterms:W3CDTF">2025-09-02T14:35:00Z</dcterms:created>
  <dcterms:modified xsi:type="dcterms:W3CDTF">2025-09-02T14:43:00Z</dcterms:modified>
</cp:coreProperties>
</file>